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167E" w14:textId="77777777" w:rsidR="003743C8" w:rsidRPr="003743C8" w:rsidRDefault="003743C8" w:rsidP="003743C8">
      <w:pPr>
        <w:pBdr>
          <w:top w:val="none" w:sz="0" w:space="0" w:color="auto"/>
          <w:left w:val="none" w:sz="0" w:space="0" w:color="auto"/>
          <w:bottom w:val="none" w:sz="0" w:space="0" w:color="auto"/>
          <w:right w:val="none" w:sz="0" w:space="0" w:color="auto"/>
        </w:pBdr>
        <w:rPr>
          <w:rFonts w:asciiTheme="minorHAnsi" w:hAnsiTheme="minorHAnsi" w:cs="Calibri"/>
          <w:i/>
          <w:sz w:val="28"/>
        </w:rPr>
      </w:pPr>
      <w:bookmarkStart w:id="0" w:name="CONTENT"/>
      <w:bookmarkStart w:id="1" w:name="SECTIONS"/>
      <w:bookmarkStart w:id="2" w:name="_Hlk35877851"/>
      <w:bookmarkEnd w:id="0"/>
      <w:bookmarkEnd w:id="1"/>
      <w:r w:rsidRPr="003743C8">
        <w:rPr>
          <w:rFonts w:asciiTheme="minorHAnsi" w:hAnsiTheme="minorHAnsi" w:cs="Calibri"/>
          <w:i/>
          <w:sz w:val="28"/>
        </w:rPr>
        <w:t xml:space="preserve">Wolters Kluwer - CCH Resource Library, powered by </w:t>
      </w:r>
      <w:proofErr w:type="spellStart"/>
      <w:r w:rsidRPr="003743C8">
        <w:rPr>
          <w:rFonts w:asciiTheme="minorHAnsi" w:hAnsiTheme="minorHAnsi" w:cs="Calibri"/>
          <w:i/>
          <w:sz w:val="28"/>
        </w:rPr>
        <w:t>IntelliConnect</w:t>
      </w:r>
      <w:proofErr w:type="spellEnd"/>
    </w:p>
    <w:p w14:paraId="0213843C" w14:textId="77777777" w:rsidR="003743C8" w:rsidRPr="003743C8" w:rsidRDefault="003743C8" w:rsidP="003743C8">
      <w:pPr>
        <w:rPr>
          <w:rFonts w:asciiTheme="minorHAnsi" w:hAnsiTheme="minorHAnsi" w:cs="Calibri"/>
          <w:i/>
          <w:sz w:val="28"/>
        </w:rPr>
      </w:pPr>
      <w:r w:rsidRPr="003743C8">
        <w:rPr>
          <w:rFonts w:asciiTheme="minorHAnsi" w:hAnsiTheme="minorHAnsi" w:cs="Calibri"/>
          <w:i/>
          <w:sz w:val="28"/>
        </w:rPr>
        <w:t xml:space="preserve">Sample Client Letter: </w:t>
      </w:r>
      <w:bookmarkEnd w:id="2"/>
      <w:r w:rsidRPr="003743C8">
        <w:rPr>
          <w:rFonts w:asciiTheme="minorHAnsi" w:hAnsiTheme="minorHAnsi" w:cs="Calibri"/>
          <w:i/>
          <w:sz w:val="28"/>
        </w:rPr>
        <w:t>Families First Coronavirus Response Act: Employer Tax Credits</w:t>
      </w:r>
    </w:p>
    <w:p w14:paraId="2909D491" w14:textId="6BFA72D0" w:rsidR="003743C8" w:rsidRDefault="003743C8" w:rsidP="003743C8">
      <w:pPr>
        <w:pBdr>
          <w:top w:val="none" w:sz="0" w:space="0" w:color="auto"/>
          <w:left w:val="none" w:sz="0" w:space="0" w:color="auto"/>
          <w:bottom w:val="none" w:sz="0" w:space="0" w:color="auto"/>
          <w:right w:val="none" w:sz="0" w:space="0" w:color="auto"/>
        </w:pBdr>
        <w:rPr>
          <w:rFonts w:ascii="Times New Roman" w:hAnsi="Times New Roman"/>
          <w:b/>
          <w:sz w:val="48"/>
        </w:rPr>
      </w:pPr>
    </w:p>
    <w:p w14:paraId="792C8B19" w14:textId="77777777" w:rsidR="00D87039" w:rsidRDefault="003743C8">
      <w:r>
        <w:rPr>
          <w:rFonts w:ascii="Times New Roman" w:hAnsi="Times New Roman"/>
          <w:b/>
          <w:sz w:val="48"/>
        </w:rPr>
        <w:t>Re: Families First Coronavirus Response Act: Employer Tax Credits</w:t>
      </w:r>
    </w:p>
    <w:p w14:paraId="3CE148C6" w14:textId="77777777" w:rsidR="00D87039" w:rsidRDefault="003743C8">
      <w:pPr>
        <w:jc w:val="both"/>
      </w:pPr>
      <w:r>
        <w:rPr>
          <w:rFonts w:ascii="Times New Roman" w:hAnsi="Times New Roman"/>
          <w:sz w:val="20"/>
        </w:rPr>
        <w:t> </w:t>
      </w:r>
    </w:p>
    <w:p w14:paraId="29B1B62A" w14:textId="77777777" w:rsidR="00D87039" w:rsidRDefault="003743C8">
      <w:pPr>
        <w:jc w:val="both"/>
      </w:pPr>
      <w:r>
        <w:rPr>
          <w:rFonts w:ascii="Times New Roman" w:hAnsi="Times New Roman"/>
          <w:sz w:val="20"/>
        </w:rPr>
        <w:t>Dear Client:</w:t>
      </w:r>
    </w:p>
    <w:p w14:paraId="21A621C2" w14:textId="77777777" w:rsidR="00D87039" w:rsidRDefault="003743C8">
      <w:pPr>
        <w:jc w:val="both"/>
      </w:pPr>
      <w:r>
        <w:rPr>
          <w:rFonts w:ascii="Times New Roman" w:hAnsi="Times New Roman"/>
          <w:sz w:val="20"/>
        </w:rPr>
        <w:t> </w:t>
      </w:r>
    </w:p>
    <w:p w14:paraId="7D69C14D" w14:textId="77777777" w:rsidR="00D87039" w:rsidRDefault="003743C8">
      <w:pPr>
        <w:jc w:val="both"/>
      </w:pPr>
      <w:r>
        <w:rPr>
          <w:rFonts w:ascii="Times New Roman" w:hAnsi="Times New Roman"/>
          <w:sz w:val="20"/>
        </w:rPr>
        <w:t xml:space="preserve">On March 18, 2020, the President signed the Families First Coronavirus Response Act (Coronavirus Response Act) which increases funding for various programs and </w:t>
      </w:r>
      <w:r>
        <w:rPr>
          <w:rFonts w:ascii="Times New Roman" w:hAnsi="Times New Roman"/>
          <w:sz w:val="20"/>
        </w:rPr>
        <w:t>addresses paid sick and family leave, including tax credits for employers and self-employed persons.</w:t>
      </w:r>
    </w:p>
    <w:p w14:paraId="5D299F28" w14:textId="77777777" w:rsidR="00D87039" w:rsidRDefault="003743C8">
      <w:pPr>
        <w:jc w:val="both"/>
      </w:pPr>
      <w:r>
        <w:rPr>
          <w:rFonts w:ascii="Times New Roman" w:hAnsi="Times New Roman"/>
          <w:sz w:val="20"/>
        </w:rPr>
        <w:t> </w:t>
      </w:r>
    </w:p>
    <w:p w14:paraId="20CBA8DC" w14:textId="77777777" w:rsidR="00D87039" w:rsidRDefault="003743C8">
      <w:pPr>
        <w:jc w:val="both"/>
      </w:pPr>
      <w:r>
        <w:rPr>
          <w:rFonts w:ascii="Times New Roman" w:hAnsi="Times New Roman"/>
          <w:sz w:val="20"/>
        </w:rPr>
        <w:t xml:space="preserve">The Coronavirus Response Act requires employers with fewer than 500 employees to provide paid sick leave to employees who are forced to stay home due to </w:t>
      </w:r>
      <w:r>
        <w:rPr>
          <w:rFonts w:ascii="Times New Roman" w:hAnsi="Times New Roman"/>
          <w:sz w:val="20"/>
        </w:rPr>
        <w:t>quarantining or the care for a family member (qualified sick leave) or to care for a child if the school or place of care is closed (qualified family leave).</w:t>
      </w:r>
    </w:p>
    <w:p w14:paraId="4019C5E8" w14:textId="77777777" w:rsidR="00D87039" w:rsidRDefault="003743C8">
      <w:pPr>
        <w:jc w:val="both"/>
      </w:pPr>
      <w:r>
        <w:rPr>
          <w:rFonts w:ascii="Times New Roman" w:hAnsi="Times New Roman"/>
          <w:sz w:val="20"/>
        </w:rPr>
        <w:t> </w:t>
      </w:r>
    </w:p>
    <w:p w14:paraId="37CA21C9" w14:textId="77777777" w:rsidR="00D87039" w:rsidRDefault="003743C8">
      <w:pPr>
        <w:jc w:val="both"/>
      </w:pPr>
      <w:r>
        <w:rPr>
          <w:rFonts w:ascii="Times New Roman" w:hAnsi="Times New Roman"/>
          <w:b/>
          <w:sz w:val="20"/>
        </w:rPr>
        <w:t>Credit for Qualified Sick Leave</w:t>
      </w:r>
    </w:p>
    <w:p w14:paraId="607EE0F4" w14:textId="77777777" w:rsidR="00D87039" w:rsidRDefault="003743C8">
      <w:pPr>
        <w:jc w:val="both"/>
      </w:pPr>
      <w:r>
        <w:rPr>
          <w:rFonts w:ascii="Times New Roman" w:hAnsi="Times New Roman"/>
          <w:sz w:val="20"/>
        </w:rPr>
        <w:t> </w:t>
      </w:r>
    </w:p>
    <w:p w14:paraId="7E88CEAC" w14:textId="77777777" w:rsidR="00D87039" w:rsidRDefault="003743C8">
      <w:pPr>
        <w:jc w:val="both"/>
      </w:pPr>
      <w:r>
        <w:rPr>
          <w:rFonts w:ascii="Times New Roman" w:hAnsi="Times New Roman"/>
          <w:sz w:val="20"/>
        </w:rPr>
        <w:t>In the case of sick leave wages paid by an employer to an empl</w:t>
      </w:r>
      <w:r>
        <w:rPr>
          <w:rFonts w:ascii="Times New Roman" w:hAnsi="Times New Roman"/>
          <w:sz w:val="20"/>
        </w:rPr>
        <w:t>oyee, the employer may receive a refundable credit against its share of either the OASDI or the RRTA portion (as applicable) of the payroll tax. The credit can be claimed on a quarterly basis, equal to 100 percent of the amount of sick leave wages paid</w:t>
      </w:r>
      <w:bookmarkStart w:id="3" w:name="_Hlk35518510"/>
      <w:r>
        <w:rPr>
          <w:rFonts w:ascii="Times New Roman" w:hAnsi="Times New Roman"/>
          <w:sz w:val="20"/>
        </w:rPr>
        <w:t>.</w:t>
      </w:r>
      <w:bookmarkEnd w:id="3"/>
    </w:p>
    <w:p w14:paraId="616D9B1D" w14:textId="77777777" w:rsidR="00D87039" w:rsidRDefault="003743C8">
      <w:pPr>
        <w:jc w:val="both"/>
      </w:pPr>
      <w:r>
        <w:rPr>
          <w:rFonts w:ascii="Times New Roman" w:hAnsi="Times New Roman"/>
          <w:sz w:val="20"/>
        </w:rPr>
        <w:t> </w:t>
      </w:r>
    </w:p>
    <w:p w14:paraId="44E4807A" w14:textId="77777777" w:rsidR="00D87039" w:rsidRDefault="003743C8">
      <w:pPr>
        <w:jc w:val="both"/>
      </w:pPr>
      <w:r>
        <w:rPr>
          <w:rFonts w:ascii="Times New Roman" w:hAnsi="Times New Roman"/>
          <w:sz w:val="20"/>
        </w:rPr>
        <w:t>The amount of the credit is limited to $200 per day per employee. However, the credit increases to $511 per day if the employee is on leave for the following reasons:</w:t>
      </w:r>
    </w:p>
    <w:p w14:paraId="0D21931A" w14:textId="77777777" w:rsidR="00D87039" w:rsidRDefault="003743C8">
      <w:pPr>
        <w:jc w:val="both"/>
      </w:pPr>
      <w:r>
        <w:rPr>
          <w:rFonts w:ascii="Times New Roman" w:hAnsi="Times New Roman"/>
          <w:sz w:val="20"/>
        </w:rPr>
        <w:t> </w:t>
      </w:r>
    </w:p>
    <w:p w14:paraId="5C150A8F" w14:textId="77777777" w:rsidR="00D87039" w:rsidRDefault="003743C8">
      <w:pPr>
        <w:numPr>
          <w:ilvl w:val="0"/>
          <w:numId w:val="1"/>
        </w:numPr>
        <w:jc w:val="both"/>
        <w:rPr>
          <w:rFonts w:ascii="Arial" w:hAnsi="Arial"/>
          <w:sz w:val="20"/>
        </w:rPr>
      </w:pPr>
      <w:r>
        <w:rPr>
          <w:rFonts w:ascii="Times New Roman" w:hAnsi="Times New Roman"/>
          <w:sz w:val="20"/>
        </w:rPr>
        <w:t>Is subject to a federal, state or local quarantine or isolation order related to COVID-</w:t>
      </w:r>
      <w:r>
        <w:rPr>
          <w:rFonts w:ascii="Times New Roman" w:hAnsi="Times New Roman"/>
          <w:sz w:val="20"/>
        </w:rPr>
        <w:t>19;</w:t>
      </w:r>
    </w:p>
    <w:p w14:paraId="2E43000B" w14:textId="77777777" w:rsidR="00D87039" w:rsidRDefault="003743C8">
      <w:pPr>
        <w:ind w:firstLine="360"/>
        <w:jc w:val="both"/>
      </w:pPr>
      <w:r>
        <w:rPr>
          <w:rFonts w:ascii="Times New Roman" w:hAnsi="Times New Roman"/>
          <w:sz w:val="20"/>
        </w:rPr>
        <w:t> </w:t>
      </w:r>
    </w:p>
    <w:p w14:paraId="5B6575A5" w14:textId="77777777" w:rsidR="00D87039" w:rsidRDefault="003743C8">
      <w:pPr>
        <w:numPr>
          <w:ilvl w:val="0"/>
          <w:numId w:val="2"/>
        </w:numPr>
        <w:jc w:val="both"/>
        <w:rPr>
          <w:rFonts w:ascii="Arial" w:hAnsi="Arial"/>
          <w:sz w:val="20"/>
        </w:rPr>
      </w:pPr>
      <w:r>
        <w:rPr>
          <w:rFonts w:ascii="Times New Roman" w:hAnsi="Times New Roman"/>
          <w:sz w:val="20"/>
        </w:rPr>
        <w:t>Has been advised by a health care provider to self-quarantine due to concerns related to COVID-19; or</w:t>
      </w:r>
    </w:p>
    <w:p w14:paraId="5E5F1800" w14:textId="77777777" w:rsidR="00D87039" w:rsidRDefault="003743C8">
      <w:pPr>
        <w:ind w:firstLine="360"/>
        <w:jc w:val="both"/>
      </w:pPr>
      <w:r>
        <w:rPr>
          <w:rFonts w:ascii="Times New Roman" w:hAnsi="Times New Roman"/>
          <w:sz w:val="20"/>
        </w:rPr>
        <w:t> </w:t>
      </w:r>
    </w:p>
    <w:p w14:paraId="0128A8C5" w14:textId="77777777" w:rsidR="00D87039" w:rsidRDefault="003743C8">
      <w:pPr>
        <w:numPr>
          <w:ilvl w:val="0"/>
          <w:numId w:val="3"/>
        </w:numPr>
        <w:jc w:val="both"/>
        <w:rPr>
          <w:rFonts w:ascii="Arial" w:hAnsi="Arial"/>
          <w:sz w:val="20"/>
        </w:rPr>
      </w:pPr>
      <w:r>
        <w:rPr>
          <w:rFonts w:ascii="Times New Roman" w:hAnsi="Times New Roman"/>
          <w:sz w:val="20"/>
        </w:rPr>
        <w:t>Is experiencing symptoms of COVID-19 and seeking a medical diagnosis.</w:t>
      </w:r>
    </w:p>
    <w:p w14:paraId="0FDF4F35" w14:textId="77777777" w:rsidR="00D87039" w:rsidRDefault="003743C8">
      <w:pPr>
        <w:jc w:val="both"/>
      </w:pPr>
      <w:r>
        <w:rPr>
          <w:rFonts w:ascii="Times New Roman" w:hAnsi="Times New Roman"/>
          <w:sz w:val="20"/>
        </w:rPr>
        <w:t> </w:t>
      </w:r>
    </w:p>
    <w:p w14:paraId="04EE5C3B" w14:textId="77777777" w:rsidR="00D87039" w:rsidRDefault="003743C8">
      <w:pPr>
        <w:jc w:val="both"/>
      </w:pPr>
      <w:r>
        <w:rPr>
          <w:rFonts w:ascii="Times New Roman" w:hAnsi="Times New Roman"/>
          <w:sz w:val="20"/>
        </w:rPr>
        <w:t xml:space="preserve">The total payroll tax credit is limited to 10 days of wages per employee. </w:t>
      </w:r>
    </w:p>
    <w:p w14:paraId="4754F659" w14:textId="77777777" w:rsidR="00D87039" w:rsidRDefault="003743C8">
      <w:pPr>
        <w:jc w:val="both"/>
      </w:pPr>
      <w:r>
        <w:rPr>
          <w:rFonts w:ascii="Times New Roman" w:hAnsi="Times New Roman"/>
          <w:sz w:val="20"/>
        </w:rPr>
        <w:t> </w:t>
      </w:r>
    </w:p>
    <w:p w14:paraId="217B8B4A" w14:textId="77777777" w:rsidR="00D87039" w:rsidRDefault="003743C8">
      <w:pPr>
        <w:jc w:val="both"/>
      </w:pPr>
      <w:r>
        <w:rPr>
          <w:rFonts w:ascii="Times New Roman" w:hAnsi="Times New Roman"/>
          <w:b/>
          <w:sz w:val="20"/>
        </w:rPr>
        <w:t xml:space="preserve">Credit for Qualified Family Leave </w:t>
      </w:r>
    </w:p>
    <w:p w14:paraId="1B9B54AD" w14:textId="77777777" w:rsidR="00D87039" w:rsidRDefault="003743C8">
      <w:pPr>
        <w:jc w:val="both"/>
      </w:pPr>
      <w:r>
        <w:rPr>
          <w:rFonts w:ascii="Times New Roman" w:hAnsi="Times New Roman"/>
          <w:sz w:val="20"/>
        </w:rPr>
        <w:t> </w:t>
      </w:r>
    </w:p>
    <w:p w14:paraId="310C2C91" w14:textId="77777777" w:rsidR="00D87039" w:rsidRDefault="003743C8">
      <w:pPr>
        <w:jc w:val="both"/>
      </w:pPr>
      <w:r>
        <w:rPr>
          <w:rFonts w:ascii="Times New Roman" w:hAnsi="Times New Roman"/>
          <w:sz w:val="20"/>
        </w:rPr>
        <w:t xml:space="preserve">A separate refundable payroll tax credit applies for family leave wages paid by an employer under the Coronavirus Response Act. The credit is 100 percent of the amount of qualified family leave wages limited to $200 </w:t>
      </w:r>
      <w:r>
        <w:rPr>
          <w:rFonts w:ascii="Times New Roman" w:hAnsi="Times New Roman"/>
          <w:sz w:val="20"/>
        </w:rPr>
        <w:t>per day per employee, up to an aggregate of $10,000.</w:t>
      </w:r>
    </w:p>
    <w:p w14:paraId="3B168799" w14:textId="77777777" w:rsidR="00D87039" w:rsidRDefault="003743C8">
      <w:pPr>
        <w:jc w:val="both"/>
      </w:pPr>
      <w:r>
        <w:rPr>
          <w:rFonts w:ascii="Times New Roman" w:hAnsi="Times New Roman"/>
          <w:sz w:val="20"/>
        </w:rPr>
        <w:t> </w:t>
      </w:r>
    </w:p>
    <w:p w14:paraId="6A5CD903" w14:textId="77777777" w:rsidR="00D87039" w:rsidRDefault="003743C8">
      <w:pPr>
        <w:jc w:val="both"/>
      </w:pPr>
      <w:r>
        <w:rPr>
          <w:rFonts w:ascii="Times New Roman" w:hAnsi="Times New Roman"/>
          <w:sz w:val="20"/>
        </w:rPr>
        <w:t xml:space="preserve">Wages, for purposes of both credits, include a portion of health plan expenses properly allocable to the qualified sick and family leave wages. The paid sick and family leave requirements and the </w:t>
      </w:r>
      <w:r>
        <w:rPr>
          <w:rFonts w:ascii="Times New Roman" w:hAnsi="Times New Roman"/>
          <w:sz w:val="20"/>
        </w:rPr>
        <w:t>related employer tax credits are temporary. They expire on December 31, 2020.</w:t>
      </w:r>
    </w:p>
    <w:p w14:paraId="06FE3F88" w14:textId="77777777" w:rsidR="00D87039" w:rsidRDefault="003743C8">
      <w:pPr>
        <w:jc w:val="both"/>
      </w:pPr>
      <w:r>
        <w:rPr>
          <w:rFonts w:ascii="Times New Roman" w:hAnsi="Times New Roman"/>
          <w:sz w:val="20"/>
        </w:rPr>
        <w:t> </w:t>
      </w:r>
    </w:p>
    <w:p w14:paraId="62D7E60C" w14:textId="77777777" w:rsidR="00D87039" w:rsidRDefault="003743C8">
      <w:pPr>
        <w:jc w:val="both"/>
      </w:pPr>
      <w:r>
        <w:rPr>
          <w:rFonts w:ascii="Times New Roman" w:hAnsi="Times New Roman"/>
          <w:sz w:val="20"/>
        </w:rPr>
        <w:t xml:space="preserve">The IRS is expected to provide additional guidance on these credits soon. Please call our office to discuss how your business may benefit. </w:t>
      </w:r>
    </w:p>
    <w:p w14:paraId="0FA1498E" w14:textId="77777777" w:rsidR="00D87039" w:rsidRDefault="003743C8">
      <w:pPr>
        <w:jc w:val="both"/>
      </w:pPr>
      <w:r>
        <w:rPr>
          <w:rFonts w:ascii="Times New Roman" w:hAnsi="Times New Roman"/>
          <w:sz w:val="20"/>
        </w:rPr>
        <w:t> </w:t>
      </w:r>
    </w:p>
    <w:p w14:paraId="398F9558" w14:textId="77777777" w:rsidR="00D87039" w:rsidRDefault="003743C8">
      <w:pPr>
        <w:jc w:val="both"/>
      </w:pPr>
      <w:r>
        <w:rPr>
          <w:rFonts w:ascii="Times New Roman" w:hAnsi="Times New Roman"/>
          <w:sz w:val="20"/>
        </w:rPr>
        <w:t>Sincerely,</w:t>
      </w:r>
    </w:p>
    <w:p w14:paraId="07E03581" w14:textId="31C3BDD1" w:rsidR="00D87039" w:rsidRDefault="003743C8">
      <w:r>
        <w:br/>
      </w:r>
      <w:r>
        <w:br/>
      </w:r>
      <w:r>
        <w:br/>
      </w:r>
      <w:r>
        <w:rPr>
          <w:rFonts w:ascii="Times New Roman" w:hAnsi="Times New Roman"/>
          <w:sz w:val="20"/>
        </w:rPr>
        <w:t>T</w:t>
      </w:r>
      <w:r>
        <w:rPr>
          <w:rFonts w:ascii="Times New Roman" w:hAnsi="Times New Roman"/>
          <w:sz w:val="20"/>
        </w:rPr>
        <w:t>his letter explain</w:t>
      </w:r>
      <w:r>
        <w:rPr>
          <w:rFonts w:ascii="Times New Roman" w:hAnsi="Times New Roman"/>
          <w:sz w:val="20"/>
        </w:rPr>
        <w:t xml:space="preserve">s the paid sick and family leave tax credits for employers under the Families First Coronavirus Response Act. (03/20/2020) </w:t>
      </w:r>
      <w:bookmarkStart w:id="4" w:name="_Hlk35877760"/>
      <w:bookmarkStart w:id="5" w:name="_Hlk35877913"/>
      <w:r w:rsidRPr="003743C8">
        <w:rPr>
          <w:rFonts w:ascii="Times New Roman" w:hAnsi="Times New Roman"/>
          <w:sz w:val="20"/>
        </w:rPr>
        <w:t xml:space="preserve">This letter is provided as part of your complimentary subscription to the CCH Resource Library, powered by </w:t>
      </w:r>
      <w:proofErr w:type="spellStart"/>
      <w:r w:rsidRPr="003743C8">
        <w:rPr>
          <w:rFonts w:ascii="Times New Roman" w:hAnsi="Times New Roman"/>
          <w:sz w:val="20"/>
        </w:rPr>
        <w:t>IntelliConnect</w:t>
      </w:r>
      <w:proofErr w:type="spellEnd"/>
      <w:r w:rsidRPr="003743C8">
        <w:rPr>
          <w:rFonts w:ascii="Times New Roman" w:hAnsi="Times New Roman"/>
          <w:sz w:val="20"/>
        </w:rPr>
        <w:t xml:space="preserve"> provided by ADP Accountant </w:t>
      </w:r>
      <w:proofErr w:type="spellStart"/>
      <w:r w:rsidRPr="003743C8">
        <w:rPr>
          <w:rFonts w:ascii="Times New Roman" w:hAnsi="Times New Roman"/>
          <w:sz w:val="20"/>
        </w:rPr>
        <w:t>Connect</w:t>
      </w:r>
      <w:r w:rsidRPr="003743C8">
        <w:rPr>
          <w:rFonts w:ascii="Times New Roman" w:hAnsi="Times New Roman"/>
          <w:sz w:val="20"/>
          <w:vertAlign w:val="superscript"/>
        </w:rPr>
        <w:t>SM</w:t>
      </w:r>
      <w:proofErr w:type="spellEnd"/>
      <w:r w:rsidRPr="003743C8">
        <w:rPr>
          <w:rFonts w:ascii="Times New Roman" w:hAnsi="Times New Roman"/>
          <w:sz w:val="20"/>
        </w:rPr>
        <w:t>.</w:t>
      </w:r>
      <w:bookmarkStart w:id="6" w:name="_GoBack"/>
      <w:bookmarkEnd w:id="4"/>
      <w:bookmarkEnd w:id="5"/>
      <w:bookmarkEnd w:id="6"/>
    </w:p>
    <w:sectPr w:rsidR="00D8703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25DB"/>
    <w:multiLevelType w:val="hybridMultilevel"/>
    <w:tmpl w:val="5B9E33EE"/>
    <w:lvl w:ilvl="0" w:tplc="1E4D189F">
      <w:start w:val="1"/>
      <w:numFmt w:val="bullet"/>
      <w:lvlText w:val="·"/>
      <w:lvlJc w:val="left"/>
      <w:pPr>
        <w:ind w:left="720" w:hanging="360"/>
      </w:pPr>
      <w:rPr>
        <w:rFonts w:ascii="Symbol" w:hAnsi="Symbol"/>
      </w:rPr>
    </w:lvl>
    <w:lvl w:ilvl="1" w:tplc="21229196">
      <w:start w:val="1"/>
      <w:numFmt w:val="bullet"/>
      <w:lvlText w:val="o"/>
      <w:lvlJc w:val="left"/>
      <w:pPr>
        <w:ind w:left="1440" w:hanging="360"/>
      </w:pPr>
      <w:rPr>
        <w:rFonts w:ascii="Symbol" w:hAnsi="Symbol"/>
      </w:rPr>
    </w:lvl>
    <w:lvl w:ilvl="2" w:tplc="619A4767">
      <w:start w:val="1"/>
      <w:numFmt w:val="bullet"/>
      <w:lvlText w:val="·"/>
      <w:lvlJc w:val="left"/>
      <w:pPr>
        <w:ind w:left="2160" w:hanging="360"/>
      </w:pPr>
      <w:rPr>
        <w:rFonts w:ascii="Symbol" w:hAnsi="Symbol"/>
      </w:rPr>
    </w:lvl>
    <w:lvl w:ilvl="3" w:tplc="507D3635">
      <w:start w:val="1"/>
      <w:numFmt w:val="bullet"/>
      <w:lvlText w:val="o"/>
      <w:lvlJc w:val="left"/>
      <w:pPr>
        <w:ind w:left="2880" w:hanging="360"/>
      </w:pPr>
      <w:rPr>
        <w:rFonts w:ascii="Symbol" w:hAnsi="Symbol"/>
      </w:rPr>
    </w:lvl>
    <w:lvl w:ilvl="4" w:tplc="6D82DAF4">
      <w:start w:val="1"/>
      <w:numFmt w:val="bullet"/>
      <w:lvlText w:val="·"/>
      <w:lvlJc w:val="left"/>
      <w:pPr>
        <w:ind w:left="3600" w:hanging="360"/>
      </w:pPr>
      <w:rPr>
        <w:rFonts w:ascii="Symbol" w:hAnsi="Symbol"/>
      </w:rPr>
    </w:lvl>
    <w:lvl w:ilvl="5" w:tplc="60F70313">
      <w:start w:val="1"/>
      <w:numFmt w:val="bullet"/>
      <w:lvlText w:val="o"/>
      <w:lvlJc w:val="left"/>
      <w:pPr>
        <w:ind w:left="4320" w:hanging="360"/>
      </w:pPr>
      <w:rPr>
        <w:rFonts w:ascii="Symbol" w:hAnsi="Symbol"/>
      </w:rPr>
    </w:lvl>
    <w:lvl w:ilvl="6" w:tplc="7780B52E">
      <w:start w:val="1"/>
      <w:numFmt w:val="bullet"/>
      <w:lvlText w:val="·"/>
      <w:lvlJc w:val="left"/>
      <w:pPr>
        <w:ind w:left="5040" w:hanging="360"/>
      </w:pPr>
      <w:rPr>
        <w:rFonts w:ascii="Symbol" w:hAnsi="Symbol"/>
      </w:rPr>
    </w:lvl>
    <w:lvl w:ilvl="7" w:tplc="22013D28">
      <w:start w:val="1"/>
      <w:numFmt w:val="bullet"/>
      <w:lvlText w:val="o"/>
      <w:lvlJc w:val="left"/>
      <w:pPr>
        <w:ind w:left="5760" w:hanging="360"/>
      </w:pPr>
      <w:rPr>
        <w:rFonts w:ascii="Symbol" w:hAnsi="Symbol"/>
      </w:rPr>
    </w:lvl>
    <w:lvl w:ilvl="8" w:tplc="6AA836D5">
      <w:start w:val="1"/>
      <w:numFmt w:val="bullet"/>
      <w:lvlText w:val="·"/>
      <w:lvlJc w:val="left"/>
      <w:pPr>
        <w:ind w:left="6480" w:hanging="360"/>
      </w:pPr>
      <w:rPr>
        <w:rFonts w:ascii="Symbol" w:hAnsi="Symbol"/>
      </w:rPr>
    </w:lvl>
  </w:abstractNum>
  <w:abstractNum w:abstractNumId="1" w15:restartNumberingAfterBreak="0">
    <w:nsid w:val="13C61FE5"/>
    <w:multiLevelType w:val="hybridMultilevel"/>
    <w:tmpl w:val="EB920676"/>
    <w:lvl w:ilvl="0" w:tplc="6BDDC6EC">
      <w:start w:val="1"/>
      <w:numFmt w:val="bullet"/>
      <w:lvlText w:val="·"/>
      <w:lvlJc w:val="left"/>
      <w:pPr>
        <w:ind w:left="720" w:hanging="360"/>
      </w:pPr>
      <w:rPr>
        <w:rFonts w:ascii="Symbol" w:hAnsi="Symbol"/>
      </w:rPr>
    </w:lvl>
    <w:lvl w:ilvl="1" w:tplc="1BABA601">
      <w:start w:val="1"/>
      <w:numFmt w:val="bullet"/>
      <w:lvlText w:val="o"/>
      <w:lvlJc w:val="left"/>
      <w:pPr>
        <w:ind w:left="1440" w:hanging="360"/>
      </w:pPr>
      <w:rPr>
        <w:rFonts w:ascii="Symbol" w:hAnsi="Symbol"/>
      </w:rPr>
    </w:lvl>
    <w:lvl w:ilvl="2" w:tplc="39F3E3A4">
      <w:start w:val="1"/>
      <w:numFmt w:val="bullet"/>
      <w:lvlText w:val="·"/>
      <w:lvlJc w:val="left"/>
      <w:pPr>
        <w:ind w:left="2160" w:hanging="360"/>
      </w:pPr>
      <w:rPr>
        <w:rFonts w:ascii="Symbol" w:hAnsi="Symbol"/>
      </w:rPr>
    </w:lvl>
    <w:lvl w:ilvl="3" w:tplc="59654571">
      <w:start w:val="1"/>
      <w:numFmt w:val="bullet"/>
      <w:lvlText w:val="o"/>
      <w:lvlJc w:val="left"/>
      <w:pPr>
        <w:ind w:left="2880" w:hanging="360"/>
      </w:pPr>
      <w:rPr>
        <w:rFonts w:ascii="Symbol" w:hAnsi="Symbol"/>
      </w:rPr>
    </w:lvl>
    <w:lvl w:ilvl="4" w:tplc="31101DA9">
      <w:start w:val="1"/>
      <w:numFmt w:val="bullet"/>
      <w:lvlText w:val="·"/>
      <w:lvlJc w:val="left"/>
      <w:pPr>
        <w:ind w:left="3600" w:hanging="360"/>
      </w:pPr>
      <w:rPr>
        <w:rFonts w:ascii="Symbol" w:hAnsi="Symbol"/>
      </w:rPr>
    </w:lvl>
    <w:lvl w:ilvl="5" w:tplc="428BC8A5">
      <w:start w:val="1"/>
      <w:numFmt w:val="bullet"/>
      <w:lvlText w:val="o"/>
      <w:lvlJc w:val="left"/>
      <w:pPr>
        <w:ind w:left="4320" w:hanging="360"/>
      </w:pPr>
      <w:rPr>
        <w:rFonts w:ascii="Symbol" w:hAnsi="Symbol"/>
      </w:rPr>
    </w:lvl>
    <w:lvl w:ilvl="6" w:tplc="211EE8E5">
      <w:start w:val="1"/>
      <w:numFmt w:val="bullet"/>
      <w:lvlText w:val="·"/>
      <w:lvlJc w:val="left"/>
      <w:pPr>
        <w:ind w:left="5040" w:hanging="360"/>
      </w:pPr>
      <w:rPr>
        <w:rFonts w:ascii="Symbol" w:hAnsi="Symbol"/>
      </w:rPr>
    </w:lvl>
    <w:lvl w:ilvl="7" w:tplc="5C01B08D">
      <w:start w:val="1"/>
      <w:numFmt w:val="bullet"/>
      <w:lvlText w:val="o"/>
      <w:lvlJc w:val="left"/>
      <w:pPr>
        <w:ind w:left="5760" w:hanging="360"/>
      </w:pPr>
      <w:rPr>
        <w:rFonts w:ascii="Symbol" w:hAnsi="Symbol"/>
      </w:rPr>
    </w:lvl>
    <w:lvl w:ilvl="8" w:tplc="4B3EDE1B">
      <w:start w:val="1"/>
      <w:numFmt w:val="bullet"/>
      <w:lvlText w:val="·"/>
      <w:lvlJc w:val="left"/>
      <w:pPr>
        <w:ind w:left="6480" w:hanging="360"/>
      </w:pPr>
      <w:rPr>
        <w:rFonts w:ascii="Symbol" w:hAnsi="Symbol"/>
      </w:rPr>
    </w:lvl>
  </w:abstractNum>
  <w:abstractNum w:abstractNumId="2" w15:restartNumberingAfterBreak="0">
    <w:nsid w:val="78313CFF"/>
    <w:multiLevelType w:val="hybridMultilevel"/>
    <w:tmpl w:val="337C7B3A"/>
    <w:lvl w:ilvl="0" w:tplc="40E6FF6A">
      <w:start w:val="1"/>
      <w:numFmt w:val="bullet"/>
      <w:lvlText w:val="·"/>
      <w:lvlJc w:val="left"/>
      <w:pPr>
        <w:ind w:left="720" w:hanging="360"/>
      </w:pPr>
      <w:rPr>
        <w:rFonts w:ascii="Symbol" w:hAnsi="Symbol"/>
      </w:rPr>
    </w:lvl>
    <w:lvl w:ilvl="1" w:tplc="56C62E64">
      <w:start w:val="1"/>
      <w:numFmt w:val="bullet"/>
      <w:lvlText w:val="o"/>
      <w:lvlJc w:val="left"/>
      <w:pPr>
        <w:ind w:left="1440" w:hanging="360"/>
      </w:pPr>
      <w:rPr>
        <w:rFonts w:ascii="Symbol" w:hAnsi="Symbol"/>
      </w:rPr>
    </w:lvl>
    <w:lvl w:ilvl="2" w:tplc="13322BFB">
      <w:start w:val="1"/>
      <w:numFmt w:val="bullet"/>
      <w:lvlText w:val="·"/>
      <w:lvlJc w:val="left"/>
      <w:pPr>
        <w:ind w:left="2160" w:hanging="360"/>
      </w:pPr>
      <w:rPr>
        <w:rFonts w:ascii="Symbol" w:hAnsi="Symbol"/>
      </w:rPr>
    </w:lvl>
    <w:lvl w:ilvl="3" w:tplc="11A69990">
      <w:start w:val="1"/>
      <w:numFmt w:val="bullet"/>
      <w:lvlText w:val="o"/>
      <w:lvlJc w:val="left"/>
      <w:pPr>
        <w:ind w:left="2880" w:hanging="360"/>
      </w:pPr>
      <w:rPr>
        <w:rFonts w:ascii="Symbol" w:hAnsi="Symbol"/>
      </w:rPr>
    </w:lvl>
    <w:lvl w:ilvl="4" w:tplc="72BFDE60">
      <w:start w:val="1"/>
      <w:numFmt w:val="bullet"/>
      <w:lvlText w:val="·"/>
      <w:lvlJc w:val="left"/>
      <w:pPr>
        <w:ind w:left="3600" w:hanging="360"/>
      </w:pPr>
      <w:rPr>
        <w:rFonts w:ascii="Symbol" w:hAnsi="Symbol"/>
      </w:rPr>
    </w:lvl>
    <w:lvl w:ilvl="5" w:tplc="50CEB89C">
      <w:start w:val="1"/>
      <w:numFmt w:val="bullet"/>
      <w:lvlText w:val="o"/>
      <w:lvlJc w:val="left"/>
      <w:pPr>
        <w:ind w:left="4320" w:hanging="360"/>
      </w:pPr>
      <w:rPr>
        <w:rFonts w:ascii="Symbol" w:hAnsi="Symbol"/>
      </w:rPr>
    </w:lvl>
    <w:lvl w:ilvl="6" w:tplc="285AB3F3">
      <w:start w:val="1"/>
      <w:numFmt w:val="bullet"/>
      <w:lvlText w:val="·"/>
      <w:lvlJc w:val="left"/>
      <w:pPr>
        <w:ind w:left="5040" w:hanging="360"/>
      </w:pPr>
      <w:rPr>
        <w:rFonts w:ascii="Symbol" w:hAnsi="Symbol"/>
      </w:rPr>
    </w:lvl>
    <w:lvl w:ilvl="7" w:tplc="01D3364F">
      <w:start w:val="1"/>
      <w:numFmt w:val="bullet"/>
      <w:lvlText w:val="o"/>
      <w:lvlJc w:val="left"/>
      <w:pPr>
        <w:ind w:left="5760" w:hanging="360"/>
      </w:pPr>
      <w:rPr>
        <w:rFonts w:ascii="Symbol" w:hAnsi="Symbol"/>
      </w:rPr>
    </w:lvl>
    <w:lvl w:ilvl="8" w:tplc="4D21AC31">
      <w:start w:val="1"/>
      <w:numFmt w:val="bullet"/>
      <w:lvlText w:val="·"/>
      <w:lvlJc w:val="left"/>
      <w:pPr>
        <w:ind w:left="6480" w:hanging="360"/>
      </w:pPr>
      <w:rPr>
        <w:rFonts w:ascii="Symbol" w:hAnsi="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7039"/>
    <w:rsid w:val="003743C8"/>
    <w:rsid w:val="00D8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B5AD"/>
  <w15:docId w15:val="{385EA943-283F-445E-BE3D-A8FA22E9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en-US" w:eastAsia="en-US"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Selich, Amy (ES)</cp:lastModifiedBy>
  <cp:revision>2</cp:revision>
  <dcterms:created xsi:type="dcterms:W3CDTF">2020-03-23T21:47:00Z</dcterms:created>
  <dcterms:modified xsi:type="dcterms:W3CDTF">2020-03-23T21:47:00Z</dcterms:modified>
</cp:coreProperties>
</file>